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14C" w:rsidRDefault="00E1114C">
      <w:pPr>
        <w:pStyle w:val="BodyText"/>
        <w:rPr>
          <w:rFonts w:ascii="Times New Roman"/>
          <w:sz w:val="24"/>
        </w:rPr>
      </w:pPr>
      <w:bookmarkStart w:id="0" w:name="_GoBack"/>
      <w:bookmarkEnd w:id="0"/>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400"/>
        <w:gridCol w:w="1980"/>
      </w:tblGrid>
      <w:tr w:rsidR="00D500F4">
        <w:trPr>
          <w:trHeight w:val="580"/>
        </w:trPr>
        <w:tc>
          <w:tcPr>
            <w:tcW w:w="2448" w:type="dxa"/>
            <w:tcBorders>
              <w:bottom w:val="nil"/>
            </w:tcBorders>
          </w:tcPr>
          <w:p w:rsidR="00D500F4" w:rsidRDefault="00D500F4" w:rsidP="00D500F4">
            <w:pPr>
              <w:pStyle w:val="TableParagraph"/>
              <w:spacing w:before="6"/>
              <w:rPr>
                <w:rFonts w:ascii="Times New Roman"/>
                <w:sz w:val="27"/>
              </w:rPr>
            </w:pPr>
          </w:p>
          <w:p w:rsidR="00D500F4" w:rsidRDefault="00D500F4" w:rsidP="00D500F4">
            <w:pPr>
              <w:pStyle w:val="TableParagraph"/>
              <w:ind w:left="107"/>
            </w:pPr>
            <w:r>
              <w:rPr>
                <w:u w:val="single"/>
              </w:rPr>
              <w:t>Issued:</w:t>
            </w:r>
          </w:p>
        </w:tc>
        <w:tc>
          <w:tcPr>
            <w:tcW w:w="5400" w:type="dxa"/>
            <w:tcBorders>
              <w:bottom w:val="nil"/>
            </w:tcBorders>
          </w:tcPr>
          <w:p w:rsidR="00D500F4" w:rsidRDefault="00D500F4" w:rsidP="00D500F4">
            <w:pPr>
              <w:pStyle w:val="TableParagraph"/>
              <w:spacing w:before="3"/>
              <w:rPr>
                <w:rFonts w:ascii="Times New Roman"/>
                <w:sz w:val="27"/>
              </w:rPr>
            </w:pPr>
          </w:p>
          <w:p w:rsidR="00D500F4" w:rsidRDefault="00D500F4" w:rsidP="00D500F4">
            <w:pPr>
              <w:pStyle w:val="TableParagraph"/>
              <w:ind w:left="552" w:right="542"/>
              <w:jc w:val="center"/>
              <w:rPr>
                <w:b/>
              </w:rPr>
            </w:pPr>
            <w:r>
              <w:rPr>
                <w:b/>
              </w:rPr>
              <w:t>ENGINEERING DIVISION</w:t>
            </w:r>
            <w:r>
              <w:rPr>
                <w:b/>
              </w:rPr>
              <w:br/>
              <w:t>(BỘ PHẬN KỸ THUẬT)</w:t>
            </w:r>
          </w:p>
        </w:tc>
        <w:tc>
          <w:tcPr>
            <w:tcW w:w="1980" w:type="dxa"/>
            <w:tcBorders>
              <w:bottom w:val="nil"/>
            </w:tcBorders>
          </w:tcPr>
          <w:p w:rsidR="00D500F4" w:rsidRDefault="00D500F4" w:rsidP="00D500F4">
            <w:pPr>
              <w:pStyle w:val="TableParagraph"/>
              <w:spacing w:before="6"/>
              <w:rPr>
                <w:rFonts w:ascii="Times New Roman"/>
                <w:sz w:val="27"/>
              </w:rPr>
            </w:pPr>
          </w:p>
          <w:p w:rsidR="00D500F4" w:rsidRDefault="00D500F4" w:rsidP="00D500F4">
            <w:pPr>
              <w:pStyle w:val="TableParagraph"/>
              <w:ind w:left="107"/>
            </w:pPr>
            <w:r>
              <w:rPr>
                <w:u w:val="single"/>
              </w:rPr>
              <w:t>Index Nº:</w:t>
            </w:r>
          </w:p>
        </w:tc>
      </w:tr>
      <w:tr w:rsidR="00D500F4">
        <w:trPr>
          <w:trHeight w:val="440"/>
        </w:trPr>
        <w:tc>
          <w:tcPr>
            <w:tcW w:w="2448" w:type="dxa"/>
            <w:tcBorders>
              <w:top w:val="nil"/>
              <w:bottom w:val="nil"/>
            </w:tcBorders>
          </w:tcPr>
          <w:p w:rsidR="00D500F4" w:rsidRDefault="00D500F4" w:rsidP="00D500F4">
            <w:pPr>
              <w:pStyle w:val="TableParagraph"/>
              <w:spacing w:before="16"/>
              <w:ind w:left="107"/>
            </w:pPr>
            <w:r>
              <w:t>January 2023</w:t>
            </w:r>
          </w:p>
        </w:tc>
        <w:tc>
          <w:tcPr>
            <w:tcW w:w="5400" w:type="dxa"/>
            <w:tcBorders>
              <w:top w:val="nil"/>
              <w:bottom w:val="nil"/>
            </w:tcBorders>
          </w:tcPr>
          <w:p w:rsidR="00D500F4" w:rsidRDefault="00D500F4" w:rsidP="00D500F4">
            <w:pPr>
              <w:pStyle w:val="TableParagraph"/>
              <w:spacing w:before="14"/>
              <w:ind w:left="552" w:right="542"/>
              <w:jc w:val="center"/>
              <w:rPr>
                <w:b/>
              </w:rPr>
            </w:pPr>
            <w:r>
              <w:rPr>
                <w:b/>
              </w:rPr>
              <w:t>POLICIES &amp; PROCEDURES</w:t>
            </w:r>
            <w:r>
              <w:rPr>
                <w:b/>
              </w:rPr>
              <w:br/>
              <w:t>(CHÍNH SÁCH VÀ QUY TRÌNH)</w:t>
            </w:r>
          </w:p>
        </w:tc>
        <w:tc>
          <w:tcPr>
            <w:tcW w:w="1980" w:type="dxa"/>
            <w:tcBorders>
              <w:top w:val="nil"/>
              <w:bottom w:val="nil"/>
            </w:tcBorders>
          </w:tcPr>
          <w:p w:rsidR="00D500F4" w:rsidRDefault="00D500F4" w:rsidP="00D500F4">
            <w:pPr>
              <w:pStyle w:val="TableParagraph"/>
              <w:spacing w:before="16"/>
              <w:ind w:left="107"/>
            </w:pPr>
            <w:r>
              <w:t>SSC027</w:t>
            </w:r>
          </w:p>
        </w:tc>
      </w:tr>
      <w:tr w:rsidR="00D500F4">
        <w:trPr>
          <w:trHeight w:val="440"/>
        </w:trPr>
        <w:tc>
          <w:tcPr>
            <w:tcW w:w="2448" w:type="dxa"/>
            <w:tcBorders>
              <w:top w:val="nil"/>
              <w:bottom w:val="nil"/>
            </w:tcBorders>
          </w:tcPr>
          <w:p w:rsidR="00D500F4" w:rsidRDefault="00D500F4" w:rsidP="00D500F4">
            <w:pPr>
              <w:pStyle w:val="TableParagraph"/>
              <w:spacing w:before="173"/>
              <w:ind w:left="107"/>
            </w:pPr>
            <w:r>
              <w:rPr>
                <w:u w:val="single"/>
              </w:rPr>
              <w:t>Revised:</w:t>
            </w:r>
          </w:p>
        </w:tc>
        <w:tc>
          <w:tcPr>
            <w:tcW w:w="5400" w:type="dxa"/>
            <w:tcBorders>
              <w:top w:val="nil"/>
              <w:bottom w:val="nil"/>
            </w:tcBorders>
          </w:tcPr>
          <w:p w:rsidR="00D500F4" w:rsidRDefault="00D500F4" w:rsidP="00D500F4">
            <w:pPr>
              <w:pStyle w:val="TableParagraph"/>
              <w:rPr>
                <w:rFonts w:ascii="Times New Roman"/>
                <w:sz w:val="20"/>
              </w:rPr>
            </w:pPr>
          </w:p>
        </w:tc>
        <w:tc>
          <w:tcPr>
            <w:tcW w:w="1980" w:type="dxa"/>
            <w:tcBorders>
              <w:top w:val="nil"/>
              <w:bottom w:val="nil"/>
            </w:tcBorders>
          </w:tcPr>
          <w:p w:rsidR="00D500F4" w:rsidRDefault="00D500F4" w:rsidP="00D500F4">
            <w:pPr>
              <w:pStyle w:val="TableParagraph"/>
              <w:spacing w:before="173"/>
              <w:ind w:left="107"/>
            </w:pPr>
            <w:r>
              <w:rPr>
                <w:u w:val="single"/>
              </w:rPr>
              <w:t>Approved By</w:t>
            </w:r>
            <w:r>
              <w:t>:</w:t>
            </w:r>
          </w:p>
        </w:tc>
      </w:tr>
      <w:tr w:rsidR="00D500F4">
        <w:trPr>
          <w:trHeight w:val="300"/>
        </w:trPr>
        <w:tc>
          <w:tcPr>
            <w:tcW w:w="2448" w:type="dxa"/>
            <w:tcBorders>
              <w:top w:val="nil"/>
              <w:bottom w:val="nil"/>
            </w:tcBorders>
          </w:tcPr>
          <w:p w:rsidR="00D500F4" w:rsidRDefault="00D500F4" w:rsidP="00D500F4">
            <w:pPr>
              <w:pStyle w:val="TableParagraph"/>
              <w:spacing w:before="16"/>
              <w:ind w:left="107"/>
            </w:pPr>
          </w:p>
        </w:tc>
        <w:tc>
          <w:tcPr>
            <w:tcW w:w="5400" w:type="dxa"/>
            <w:tcBorders>
              <w:top w:val="nil"/>
              <w:bottom w:val="nil"/>
            </w:tcBorders>
          </w:tcPr>
          <w:p w:rsidR="00D500F4" w:rsidRDefault="00D500F4" w:rsidP="00D500F4">
            <w:pPr>
              <w:pStyle w:val="TableParagraph"/>
              <w:rPr>
                <w:rFonts w:ascii="Times New Roman"/>
                <w:sz w:val="20"/>
              </w:rPr>
            </w:pPr>
          </w:p>
        </w:tc>
        <w:tc>
          <w:tcPr>
            <w:tcW w:w="1980" w:type="dxa"/>
            <w:tcBorders>
              <w:top w:val="nil"/>
              <w:bottom w:val="nil"/>
            </w:tcBorders>
          </w:tcPr>
          <w:p w:rsidR="00D500F4" w:rsidRDefault="00D500F4" w:rsidP="00D500F4">
            <w:pPr>
              <w:pStyle w:val="TableParagraph"/>
              <w:spacing w:before="16"/>
              <w:ind w:left="107"/>
            </w:pPr>
            <w:r>
              <w:t>GM.DOE</w:t>
            </w:r>
          </w:p>
        </w:tc>
      </w:tr>
      <w:tr w:rsidR="00D500F4">
        <w:trPr>
          <w:trHeight w:val="300"/>
        </w:trPr>
        <w:tc>
          <w:tcPr>
            <w:tcW w:w="2448" w:type="dxa"/>
            <w:tcBorders>
              <w:top w:val="nil"/>
              <w:bottom w:val="nil"/>
            </w:tcBorders>
          </w:tcPr>
          <w:p w:rsidR="00D500F4" w:rsidRDefault="00D500F4" w:rsidP="00D500F4">
            <w:pPr>
              <w:pStyle w:val="TableParagraph"/>
              <w:rPr>
                <w:rFonts w:ascii="Times New Roman"/>
                <w:sz w:val="20"/>
              </w:rPr>
            </w:pPr>
          </w:p>
        </w:tc>
        <w:tc>
          <w:tcPr>
            <w:tcW w:w="5400" w:type="dxa"/>
            <w:tcBorders>
              <w:top w:val="nil"/>
              <w:bottom w:val="nil"/>
            </w:tcBorders>
          </w:tcPr>
          <w:p w:rsidR="00D500F4" w:rsidRDefault="00D500F4" w:rsidP="00D500F4">
            <w:pPr>
              <w:pStyle w:val="TableParagraph"/>
              <w:spacing w:before="40" w:line="243" w:lineRule="exact"/>
              <w:ind w:left="547" w:right="542"/>
              <w:jc w:val="center"/>
              <w:rPr>
                <w:b/>
              </w:rPr>
            </w:pPr>
            <w:r>
              <w:rPr>
                <w:b/>
              </w:rPr>
              <w:t>SAFETY &amp; SECURITY</w:t>
            </w:r>
            <w:r>
              <w:rPr>
                <w:b/>
              </w:rPr>
              <w:br/>
              <w:t>(AN TOÀN VÀ AN NINH)</w:t>
            </w:r>
          </w:p>
        </w:tc>
        <w:tc>
          <w:tcPr>
            <w:tcW w:w="1980" w:type="dxa"/>
            <w:tcBorders>
              <w:top w:val="nil"/>
              <w:bottom w:val="nil"/>
            </w:tcBorders>
          </w:tcPr>
          <w:p w:rsidR="00D500F4" w:rsidRDefault="00D500F4" w:rsidP="00D500F4">
            <w:pPr>
              <w:pStyle w:val="TableParagraph"/>
              <w:rPr>
                <w:rFonts w:ascii="Times New Roman"/>
                <w:sz w:val="20"/>
              </w:rPr>
            </w:pPr>
          </w:p>
        </w:tc>
      </w:tr>
      <w:tr w:rsidR="00D500F4">
        <w:trPr>
          <w:trHeight w:val="260"/>
        </w:trPr>
        <w:tc>
          <w:tcPr>
            <w:tcW w:w="2448" w:type="dxa"/>
            <w:tcBorders>
              <w:top w:val="nil"/>
              <w:bottom w:val="nil"/>
            </w:tcBorders>
          </w:tcPr>
          <w:p w:rsidR="00D500F4" w:rsidRDefault="00D500F4" w:rsidP="00D500F4">
            <w:pPr>
              <w:pStyle w:val="TableParagraph"/>
              <w:spacing w:before="3"/>
              <w:ind w:left="107"/>
            </w:pPr>
            <w:r>
              <w:rPr>
                <w:u w:val="single"/>
              </w:rPr>
              <w:t>New Revision Due</w:t>
            </w:r>
            <w:r>
              <w:t>:</w:t>
            </w:r>
          </w:p>
        </w:tc>
        <w:tc>
          <w:tcPr>
            <w:tcW w:w="5400" w:type="dxa"/>
            <w:tcBorders>
              <w:top w:val="nil"/>
              <w:bottom w:val="nil"/>
            </w:tcBorders>
          </w:tcPr>
          <w:p w:rsidR="00D500F4" w:rsidRDefault="00D500F4" w:rsidP="00D500F4">
            <w:pPr>
              <w:pStyle w:val="TableParagraph"/>
              <w:rPr>
                <w:rFonts w:ascii="Times New Roman"/>
                <w:sz w:val="20"/>
              </w:rPr>
            </w:pPr>
          </w:p>
        </w:tc>
        <w:tc>
          <w:tcPr>
            <w:tcW w:w="1980" w:type="dxa"/>
            <w:tcBorders>
              <w:top w:val="nil"/>
              <w:bottom w:val="nil"/>
            </w:tcBorders>
          </w:tcPr>
          <w:p w:rsidR="00D500F4" w:rsidRDefault="00D500F4" w:rsidP="00D500F4">
            <w:pPr>
              <w:pStyle w:val="TableParagraph"/>
              <w:rPr>
                <w:rFonts w:ascii="Times New Roman"/>
                <w:sz w:val="20"/>
              </w:rPr>
            </w:pPr>
          </w:p>
        </w:tc>
      </w:tr>
      <w:tr w:rsidR="00D500F4">
        <w:trPr>
          <w:trHeight w:val="620"/>
        </w:trPr>
        <w:tc>
          <w:tcPr>
            <w:tcW w:w="2448" w:type="dxa"/>
            <w:tcBorders>
              <w:top w:val="nil"/>
            </w:tcBorders>
          </w:tcPr>
          <w:p w:rsidR="00D500F4" w:rsidRDefault="00D500F4" w:rsidP="00D500F4">
            <w:pPr>
              <w:pStyle w:val="TableParagraph"/>
              <w:spacing w:before="15"/>
              <w:ind w:left="107"/>
            </w:pPr>
          </w:p>
        </w:tc>
        <w:tc>
          <w:tcPr>
            <w:tcW w:w="5400" w:type="dxa"/>
            <w:tcBorders>
              <w:top w:val="nil"/>
            </w:tcBorders>
          </w:tcPr>
          <w:p w:rsidR="00D500F4" w:rsidRDefault="00D500F4" w:rsidP="00D500F4">
            <w:pPr>
              <w:pStyle w:val="TableParagraph"/>
              <w:rPr>
                <w:rFonts w:ascii="Times New Roman"/>
                <w:sz w:val="20"/>
              </w:rPr>
            </w:pPr>
          </w:p>
        </w:tc>
        <w:tc>
          <w:tcPr>
            <w:tcW w:w="1980" w:type="dxa"/>
            <w:tcBorders>
              <w:top w:val="nil"/>
            </w:tcBorders>
          </w:tcPr>
          <w:p w:rsidR="00D500F4" w:rsidRDefault="00D500F4" w:rsidP="00D500F4">
            <w:pPr>
              <w:pStyle w:val="TableParagraph"/>
              <w:rPr>
                <w:rFonts w:ascii="Times New Roman"/>
                <w:sz w:val="20"/>
              </w:rPr>
            </w:pPr>
          </w:p>
        </w:tc>
      </w:tr>
    </w:tbl>
    <w:p w:rsidR="00E1114C" w:rsidRDefault="007F4B4D">
      <w:pPr>
        <w:pStyle w:val="BodyText"/>
        <w:spacing w:before="5"/>
        <w:rPr>
          <w:rFonts w:ascii="Times New Roman"/>
          <w:sz w:val="18"/>
        </w:rPr>
      </w:pPr>
      <w:r>
        <w:pict>
          <v:shapetype id="_x0000_t202" coordsize="21600,21600" o:spt="202" path="m,l,21600r21600,l21600,xe">
            <v:stroke joinstyle="miter"/>
            <v:path gradientshapeok="t" o:connecttype="rect"/>
          </v:shapetype>
          <v:shape id="_x0000_s1033" type="#_x0000_t202" style="position:absolute;margin-left:459.1pt;margin-top:12.85pt;width:99pt;height:32.05pt;z-index:-251657728;mso-position-horizontal-relative:page;mso-position-vertical-relative:text" filled="f" strokeweight=".48pt">
            <v:textbox inset="0,0,0,0">
              <w:txbxContent>
                <w:p w:rsidR="00E1114C" w:rsidRDefault="008A1BBA">
                  <w:pPr>
                    <w:spacing w:before="65"/>
                    <w:ind w:left="103"/>
                  </w:pPr>
                  <w:r>
                    <w:t>2 pages</w:t>
                  </w:r>
                </w:p>
              </w:txbxContent>
            </v:textbox>
            <w10:wrap anchorx="page"/>
          </v:shape>
        </w:pict>
      </w:r>
      <w:r>
        <w:pict>
          <v:shape id="_x0000_s1034" type="#_x0000_t202" style="position:absolute;margin-left:66.7pt;margin-top:12.85pt;width:392.4pt;height:32.05pt;z-index:251656704;mso-wrap-distance-left:0;mso-wrap-distance-right:0;mso-position-horizontal-relative:page;mso-position-vertical-relative:text" filled="f" strokeweight=".48pt">
            <v:textbox inset="0,0,0,0">
              <w:txbxContent>
                <w:p w:rsidR="00E1114C" w:rsidRDefault="008A1BBA">
                  <w:pPr>
                    <w:spacing w:before="65"/>
                    <w:ind w:left="103"/>
                  </w:pPr>
                  <w:r>
                    <w:t>Subject: Appropriate Action in Dealing with Unidentified Hazardous Chemicals</w:t>
                  </w:r>
                  <w:r w:rsidR="00D500F4">
                    <w:br/>
                    <w:t xml:space="preserve">(Chủ đề: </w:t>
                  </w:r>
                  <w:r w:rsidR="00D500F4" w:rsidRPr="00D500F4">
                    <w:t>Hành động thích hợp khi xử lý hóa chất nguy hại không xác định</w:t>
                  </w:r>
                  <w:r w:rsidR="00D500F4">
                    <w:t>)</w:t>
                  </w:r>
                </w:p>
              </w:txbxContent>
            </v:textbox>
            <w10:wrap type="topAndBottom" anchorx="page"/>
          </v:shape>
        </w:pict>
      </w:r>
    </w:p>
    <w:p w:rsidR="00E1114C" w:rsidRDefault="00E1114C">
      <w:pPr>
        <w:pStyle w:val="BodyText"/>
        <w:spacing w:before="9"/>
        <w:rPr>
          <w:rFonts w:ascii="Times New Roman"/>
          <w:sz w:val="28"/>
        </w:rPr>
      </w:pPr>
    </w:p>
    <w:p w:rsidR="00E1114C" w:rsidRDefault="008A1BBA">
      <w:pPr>
        <w:pStyle w:val="Heading1"/>
      </w:pPr>
      <w:r>
        <w:t>POLICY</w:t>
      </w:r>
    </w:p>
    <w:p w:rsidR="00E1114C" w:rsidRDefault="00E1114C">
      <w:pPr>
        <w:pStyle w:val="BodyText"/>
        <w:spacing w:before="3"/>
        <w:rPr>
          <w:b/>
        </w:rPr>
      </w:pPr>
    </w:p>
    <w:p w:rsidR="00E1114C" w:rsidRDefault="008A1BBA">
      <w:pPr>
        <w:pStyle w:val="BodyText"/>
        <w:ind w:left="222"/>
      </w:pPr>
      <w:r>
        <w:t>To ensure safe work procedures are used when dealing with Unidentified Hazardous Chemicals.</w:t>
      </w:r>
    </w:p>
    <w:p w:rsidR="00CB4D45" w:rsidRPr="00CB4D45" w:rsidRDefault="00CB4D45" w:rsidP="00CB4D45">
      <w:pPr>
        <w:rPr>
          <w:i/>
          <w:sz w:val="20"/>
        </w:rPr>
      </w:pPr>
      <w:r w:rsidRPr="00CB4D45">
        <w:rPr>
          <w:i/>
          <w:sz w:val="20"/>
        </w:rPr>
        <w:t xml:space="preserve">    Đảm bảo các quy trình làm việc an toàn được sử dụ</w:t>
      </w:r>
      <w:r>
        <w:rPr>
          <w:i/>
          <w:sz w:val="20"/>
        </w:rPr>
        <w:t>ng khi làm việc</w:t>
      </w:r>
      <w:r w:rsidRPr="00CB4D45">
        <w:rPr>
          <w:i/>
          <w:sz w:val="20"/>
        </w:rPr>
        <w:t xml:space="preserve"> với Hóa chất độc hại không xác định.</w:t>
      </w:r>
    </w:p>
    <w:p w:rsidR="00E1114C" w:rsidRDefault="00E1114C">
      <w:pPr>
        <w:pStyle w:val="BodyText"/>
        <w:spacing w:before="7"/>
        <w:rPr>
          <w:sz w:val="17"/>
        </w:rPr>
      </w:pPr>
    </w:p>
    <w:p w:rsidR="00E1114C" w:rsidRDefault="008A1BBA">
      <w:pPr>
        <w:pStyle w:val="Heading1"/>
        <w:spacing w:before="0"/>
      </w:pPr>
      <w:r>
        <w:t>PROCEDURE</w:t>
      </w:r>
    </w:p>
    <w:p w:rsidR="00E1114C" w:rsidRDefault="00E1114C">
      <w:pPr>
        <w:pStyle w:val="BodyText"/>
        <w:spacing w:before="2"/>
        <w:rPr>
          <w:b/>
        </w:rPr>
      </w:pPr>
    </w:p>
    <w:p w:rsidR="00E1114C" w:rsidRDefault="008A1BBA">
      <w:pPr>
        <w:pStyle w:val="BodyText"/>
        <w:ind w:left="222" w:right="407"/>
      </w:pPr>
      <w:r>
        <w:t>When a product has been received or found which cannot be identified with a Material Safety Data Sheet or product handling instructions the following procedures must be followed.</w:t>
      </w:r>
    </w:p>
    <w:p w:rsidR="00FF1DB8" w:rsidRPr="00FF1DB8" w:rsidRDefault="00FF1DB8" w:rsidP="00FF1DB8">
      <w:pPr>
        <w:rPr>
          <w:i/>
          <w:sz w:val="20"/>
        </w:rPr>
      </w:pPr>
      <w:r>
        <w:rPr>
          <w:i/>
          <w:sz w:val="20"/>
        </w:rPr>
        <w:t xml:space="preserve"> </w:t>
      </w:r>
      <w:r w:rsidRPr="00FF1DB8">
        <w:rPr>
          <w:i/>
          <w:sz w:val="20"/>
        </w:rPr>
        <w:t>Khi một sản phẩm đã được nhận hoặc tìm thấy mà không thể được xác định bằng Bảng Dữ liệu An toàn Vật liệu hoặc hướng dẫn xử lý sản phẩm, các quy trình sau đây phải được tuân theo.</w:t>
      </w:r>
    </w:p>
    <w:p w:rsidR="00E1114C" w:rsidRPr="00FF1DB8" w:rsidRDefault="00E1114C" w:rsidP="00FF1DB8">
      <w:pPr>
        <w:pStyle w:val="BodyText"/>
        <w:spacing w:before="9"/>
        <w:rPr>
          <w:i/>
          <w:sz w:val="19"/>
        </w:rPr>
      </w:pPr>
    </w:p>
    <w:p w:rsidR="00E1114C" w:rsidRDefault="008A1BBA">
      <w:pPr>
        <w:pStyle w:val="ListParagraph"/>
        <w:numPr>
          <w:ilvl w:val="0"/>
          <w:numId w:val="1"/>
        </w:numPr>
        <w:tabs>
          <w:tab w:val="left" w:pos="583"/>
        </w:tabs>
        <w:rPr>
          <w:sz w:val="20"/>
        </w:rPr>
      </w:pPr>
      <w:r>
        <w:rPr>
          <w:sz w:val="20"/>
        </w:rPr>
        <w:t>The</w:t>
      </w:r>
      <w:r>
        <w:rPr>
          <w:spacing w:val="-5"/>
          <w:sz w:val="20"/>
        </w:rPr>
        <w:t xml:space="preserve"> </w:t>
      </w:r>
      <w:r>
        <w:rPr>
          <w:sz w:val="20"/>
        </w:rPr>
        <w:t>product</w:t>
      </w:r>
      <w:r>
        <w:rPr>
          <w:spacing w:val="-5"/>
          <w:sz w:val="20"/>
        </w:rPr>
        <w:t xml:space="preserve"> </w:t>
      </w:r>
      <w:r>
        <w:rPr>
          <w:sz w:val="20"/>
        </w:rPr>
        <w:t>must</w:t>
      </w:r>
      <w:r>
        <w:rPr>
          <w:spacing w:val="-5"/>
          <w:sz w:val="20"/>
        </w:rPr>
        <w:t xml:space="preserve"> </w:t>
      </w:r>
      <w:r>
        <w:rPr>
          <w:sz w:val="20"/>
        </w:rPr>
        <w:t>not</w:t>
      </w:r>
      <w:r>
        <w:rPr>
          <w:spacing w:val="-5"/>
          <w:sz w:val="20"/>
        </w:rPr>
        <w:t xml:space="preserve"> </w:t>
      </w:r>
      <w:r>
        <w:rPr>
          <w:sz w:val="20"/>
        </w:rPr>
        <w:t>be</w:t>
      </w:r>
      <w:r>
        <w:rPr>
          <w:spacing w:val="-3"/>
          <w:sz w:val="20"/>
        </w:rPr>
        <w:t xml:space="preserve"> </w:t>
      </w:r>
      <w:r>
        <w:rPr>
          <w:sz w:val="20"/>
        </w:rPr>
        <w:t>disturbed</w:t>
      </w:r>
      <w:r>
        <w:rPr>
          <w:spacing w:val="-5"/>
          <w:sz w:val="20"/>
        </w:rPr>
        <w:t xml:space="preserve"> </w:t>
      </w:r>
      <w:r>
        <w:rPr>
          <w:sz w:val="20"/>
        </w:rPr>
        <w:t>until</w:t>
      </w:r>
      <w:r>
        <w:rPr>
          <w:spacing w:val="-6"/>
          <w:sz w:val="20"/>
        </w:rPr>
        <w:t xml:space="preserve"> </w:t>
      </w:r>
      <w:r>
        <w:rPr>
          <w:sz w:val="20"/>
        </w:rPr>
        <w:t>the</w:t>
      </w:r>
      <w:r>
        <w:rPr>
          <w:spacing w:val="-3"/>
          <w:sz w:val="20"/>
        </w:rPr>
        <w:t xml:space="preserve"> </w:t>
      </w:r>
      <w:r>
        <w:rPr>
          <w:sz w:val="20"/>
        </w:rPr>
        <w:t>product</w:t>
      </w:r>
      <w:r>
        <w:rPr>
          <w:spacing w:val="-5"/>
          <w:sz w:val="20"/>
        </w:rPr>
        <w:t xml:space="preserve"> </w:t>
      </w:r>
      <w:r>
        <w:rPr>
          <w:sz w:val="20"/>
        </w:rPr>
        <w:t>can</w:t>
      </w:r>
      <w:r>
        <w:rPr>
          <w:spacing w:val="-5"/>
          <w:sz w:val="20"/>
        </w:rPr>
        <w:t xml:space="preserve"> </w:t>
      </w:r>
      <w:r>
        <w:rPr>
          <w:sz w:val="20"/>
        </w:rPr>
        <w:t>be</w:t>
      </w:r>
      <w:r>
        <w:rPr>
          <w:spacing w:val="-3"/>
          <w:sz w:val="20"/>
        </w:rPr>
        <w:t xml:space="preserve"> </w:t>
      </w:r>
      <w:r>
        <w:rPr>
          <w:sz w:val="20"/>
        </w:rPr>
        <w:t>identified.</w:t>
      </w:r>
    </w:p>
    <w:p w:rsidR="00FF1DB8" w:rsidRPr="00FF1DB8" w:rsidRDefault="00FF1DB8" w:rsidP="00FF1DB8">
      <w:pPr>
        <w:pStyle w:val="ListParagraph"/>
        <w:ind w:firstLine="0"/>
        <w:rPr>
          <w:i/>
          <w:sz w:val="20"/>
        </w:rPr>
      </w:pPr>
      <w:r w:rsidRPr="00FF1DB8">
        <w:rPr>
          <w:i/>
          <w:sz w:val="20"/>
        </w:rPr>
        <w:t>Sản phẩm không được động vào cho đến khi sản phẩm được xác định.</w:t>
      </w:r>
    </w:p>
    <w:p w:rsidR="00E1114C" w:rsidRPr="00FF1DB8" w:rsidRDefault="00E1114C">
      <w:pPr>
        <w:pStyle w:val="BodyText"/>
        <w:rPr>
          <w:i/>
        </w:rPr>
      </w:pPr>
    </w:p>
    <w:p w:rsidR="00E1114C" w:rsidRDefault="008A1BBA">
      <w:pPr>
        <w:pStyle w:val="ListParagraph"/>
        <w:numPr>
          <w:ilvl w:val="0"/>
          <w:numId w:val="1"/>
        </w:numPr>
        <w:tabs>
          <w:tab w:val="left" w:pos="583"/>
        </w:tabs>
        <w:rPr>
          <w:sz w:val="20"/>
        </w:rPr>
      </w:pPr>
      <w:r>
        <w:rPr>
          <w:sz w:val="20"/>
        </w:rPr>
        <w:t>Contact the Assistant Manager as soon as</w:t>
      </w:r>
      <w:r>
        <w:rPr>
          <w:spacing w:val="-30"/>
          <w:sz w:val="20"/>
        </w:rPr>
        <w:t xml:space="preserve"> </w:t>
      </w:r>
      <w:r>
        <w:rPr>
          <w:sz w:val="20"/>
        </w:rPr>
        <w:t>possible.</w:t>
      </w:r>
    </w:p>
    <w:p w:rsidR="00FF1DB8" w:rsidRPr="00FF1DB8" w:rsidRDefault="00FF1DB8" w:rsidP="00FF1DB8">
      <w:pPr>
        <w:ind w:left="222"/>
        <w:rPr>
          <w:i/>
          <w:sz w:val="20"/>
        </w:rPr>
      </w:pPr>
      <w:r>
        <w:rPr>
          <w:i/>
          <w:sz w:val="20"/>
        </w:rPr>
        <w:t xml:space="preserve">     </w:t>
      </w:r>
      <w:r w:rsidRPr="00FF1DB8">
        <w:rPr>
          <w:i/>
          <w:sz w:val="20"/>
        </w:rPr>
        <w:t>Liên hệ với Trợ lý người quản lý càng sớm càng tốt.</w:t>
      </w:r>
    </w:p>
    <w:p w:rsidR="00E1114C" w:rsidRDefault="00FF1DB8">
      <w:pPr>
        <w:pStyle w:val="BodyText"/>
      </w:pPr>
      <w:r>
        <w:t xml:space="preserve">  </w:t>
      </w:r>
    </w:p>
    <w:p w:rsidR="00E1114C" w:rsidRDefault="008A1BBA">
      <w:pPr>
        <w:pStyle w:val="ListParagraph"/>
        <w:numPr>
          <w:ilvl w:val="0"/>
          <w:numId w:val="1"/>
        </w:numPr>
        <w:tabs>
          <w:tab w:val="left" w:pos="583"/>
        </w:tabs>
        <w:ind w:right="495"/>
        <w:rPr>
          <w:sz w:val="20"/>
        </w:rPr>
      </w:pPr>
      <w:r>
        <w:rPr>
          <w:sz w:val="20"/>
        </w:rPr>
        <w:t>If</w:t>
      </w:r>
      <w:r>
        <w:rPr>
          <w:spacing w:val="-2"/>
          <w:sz w:val="20"/>
        </w:rPr>
        <w:t xml:space="preserve"> </w:t>
      </w:r>
      <w:r>
        <w:rPr>
          <w:sz w:val="20"/>
        </w:rPr>
        <w:t>the</w:t>
      </w:r>
      <w:r>
        <w:rPr>
          <w:spacing w:val="-4"/>
          <w:sz w:val="20"/>
        </w:rPr>
        <w:t xml:space="preserve"> </w:t>
      </w:r>
      <w:r>
        <w:rPr>
          <w:sz w:val="20"/>
        </w:rPr>
        <w:t>product</w:t>
      </w:r>
      <w:r>
        <w:rPr>
          <w:spacing w:val="-4"/>
          <w:sz w:val="20"/>
        </w:rPr>
        <w:t xml:space="preserve"> </w:t>
      </w:r>
      <w:r>
        <w:rPr>
          <w:sz w:val="20"/>
        </w:rPr>
        <w:t>arrives</w:t>
      </w:r>
      <w:r>
        <w:rPr>
          <w:spacing w:val="-3"/>
          <w:sz w:val="20"/>
        </w:rPr>
        <w:t xml:space="preserve"> </w:t>
      </w:r>
      <w:r>
        <w:rPr>
          <w:sz w:val="20"/>
        </w:rPr>
        <w:t>via</w:t>
      </w:r>
      <w:r>
        <w:rPr>
          <w:spacing w:val="-2"/>
          <w:sz w:val="20"/>
        </w:rPr>
        <w:t xml:space="preserve"> </w:t>
      </w:r>
      <w:r>
        <w:rPr>
          <w:sz w:val="20"/>
        </w:rPr>
        <w:t>the</w:t>
      </w:r>
      <w:r>
        <w:rPr>
          <w:spacing w:val="-4"/>
          <w:sz w:val="20"/>
        </w:rPr>
        <w:t xml:space="preserve"> </w:t>
      </w:r>
      <w:r>
        <w:rPr>
          <w:sz w:val="20"/>
        </w:rPr>
        <w:t>post</w:t>
      </w:r>
      <w:r>
        <w:rPr>
          <w:spacing w:val="-2"/>
          <w:sz w:val="20"/>
        </w:rPr>
        <w:t xml:space="preserve"> </w:t>
      </w:r>
      <w:r>
        <w:rPr>
          <w:sz w:val="20"/>
        </w:rPr>
        <w:t>it</w:t>
      </w:r>
      <w:r>
        <w:rPr>
          <w:spacing w:val="-4"/>
          <w:sz w:val="20"/>
        </w:rPr>
        <w:t xml:space="preserve"> </w:t>
      </w:r>
      <w:r>
        <w:rPr>
          <w:sz w:val="20"/>
        </w:rPr>
        <w:t>must</w:t>
      </w:r>
      <w:r>
        <w:rPr>
          <w:spacing w:val="-4"/>
          <w:sz w:val="20"/>
        </w:rPr>
        <w:t xml:space="preserve"> </w:t>
      </w:r>
      <w:r>
        <w:rPr>
          <w:sz w:val="20"/>
        </w:rPr>
        <w:t>be</w:t>
      </w:r>
      <w:r>
        <w:rPr>
          <w:spacing w:val="-4"/>
          <w:sz w:val="20"/>
        </w:rPr>
        <w:t xml:space="preserve"> </w:t>
      </w:r>
      <w:r>
        <w:rPr>
          <w:sz w:val="20"/>
        </w:rPr>
        <w:t>considered</w:t>
      </w:r>
      <w:r>
        <w:rPr>
          <w:spacing w:val="-4"/>
          <w:sz w:val="20"/>
        </w:rPr>
        <w:t xml:space="preserve"> </w:t>
      </w:r>
      <w:r>
        <w:rPr>
          <w:sz w:val="20"/>
        </w:rPr>
        <w:t>suspect</w:t>
      </w:r>
      <w:r>
        <w:rPr>
          <w:spacing w:val="-4"/>
          <w:sz w:val="20"/>
        </w:rPr>
        <w:t xml:space="preserve"> </w:t>
      </w:r>
      <w:r>
        <w:rPr>
          <w:sz w:val="20"/>
        </w:rPr>
        <w:t>and</w:t>
      </w:r>
      <w:r>
        <w:rPr>
          <w:spacing w:val="-2"/>
          <w:sz w:val="20"/>
        </w:rPr>
        <w:t xml:space="preserve"> </w:t>
      </w:r>
      <w:r>
        <w:rPr>
          <w:sz w:val="20"/>
        </w:rPr>
        <w:t>isolated</w:t>
      </w:r>
      <w:r>
        <w:rPr>
          <w:spacing w:val="-2"/>
          <w:sz w:val="20"/>
        </w:rPr>
        <w:t xml:space="preserve"> </w:t>
      </w:r>
      <w:r>
        <w:rPr>
          <w:sz w:val="20"/>
        </w:rPr>
        <w:t>by</w:t>
      </w:r>
      <w:r>
        <w:rPr>
          <w:spacing w:val="-7"/>
          <w:sz w:val="20"/>
        </w:rPr>
        <w:t xml:space="preserve"> </w:t>
      </w:r>
      <w:r>
        <w:rPr>
          <w:sz w:val="20"/>
        </w:rPr>
        <w:t>locking</w:t>
      </w:r>
      <w:r>
        <w:rPr>
          <w:spacing w:val="-4"/>
          <w:sz w:val="20"/>
        </w:rPr>
        <w:t xml:space="preserve"> </w:t>
      </w:r>
      <w:r>
        <w:rPr>
          <w:sz w:val="20"/>
        </w:rPr>
        <w:t>off</w:t>
      </w:r>
      <w:r>
        <w:rPr>
          <w:spacing w:val="-2"/>
          <w:sz w:val="20"/>
        </w:rPr>
        <w:t xml:space="preserve"> </w:t>
      </w:r>
      <w:r>
        <w:rPr>
          <w:sz w:val="20"/>
        </w:rPr>
        <w:t>the</w:t>
      </w:r>
      <w:r>
        <w:rPr>
          <w:spacing w:val="-4"/>
          <w:sz w:val="20"/>
        </w:rPr>
        <w:t xml:space="preserve"> </w:t>
      </w:r>
      <w:r>
        <w:rPr>
          <w:sz w:val="20"/>
        </w:rPr>
        <w:t>area</w:t>
      </w:r>
      <w:r>
        <w:rPr>
          <w:spacing w:val="-4"/>
          <w:sz w:val="20"/>
        </w:rPr>
        <w:t xml:space="preserve"> </w:t>
      </w:r>
      <w:r>
        <w:rPr>
          <w:sz w:val="20"/>
        </w:rPr>
        <w:t>or by preventing any body from entering into the</w:t>
      </w:r>
      <w:r>
        <w:rPr>
          <w:spacing w:val="-33"/>
          <w:sz w:val="20"/>
        </w:rPr>
        <w:t xml:space="preserve"> </w:t>
      </w:r>
      <w:r>
        <w:rPr>
          <w:sz w:val="20"/>
        </w:rPr>
        <w:t>area.</w:t>
      </w:r>
    </w:p>
    <w:p w:rsidR="00FF1DB8" w:rsidRPr="00FF1DB8" w:rsidRDefault="00FF1DB8" w:rsidP="00FF1DB8">
      <w:pPr>
        <w:ind w:left="222"/>
        <w:rPr>
          <w:i/>
          <w:sz w:val="20"/>
        </w:rPr>
      </w:pPr>
      <w:r w:rsidRPr="00FF1DB8">
        <w:rPr>
          <w:i/>
          <w:sz w:val="20"/>
        </w:rPr>
        <w:t>Nếu sản phẩm đến qua bưu điệ</w:t>
      </w:r>
      <w:r>
        <w:rPr>
          <w:i/>
          <w:sz w:val="20"/>
        </w:rPr>
        <w:t xml:space="preserve">n, nó bị </w:t>
      </w:r>
      <w:r w:rsidRPr="00FF1DB8">
        <w:rPr>
          <w:i/>
          <w:sz w:val="20"/>
        </w:rPr>
        <w:t>nghi ngờ và bị cô lập bằng cách khóa khu vực hoặc ngăn chặn bất kỳ</w:t>
      </w:r>
      <w:r>
        <w:rPr>
          <w:i/>
          <w:sz w:val="20"/>
        </w:rPr>
        <w:t xml:space="preserve"> ai </w:t>
      </w:r>
      <w:r w:rsidRPr="00FF1DB8">
        <w:rPr>
          <w:i/>
          <w:sz w:val="20"/>
        </w:rPr>
        <w:t>xâm nhập vào khu vực.</w:t>
      </w:r>
    </w:p>
    <w:p w:rsidR="00E1114C" w:rsidRDefault="00E1114C">
      <w:pPr>
        <w:pStyle w:val="BodyText"/>
        <w:spacing w:before="9"/>
        <w:rPr>
          <w:sz w:val="19"/>
        </w:rPr>
      </w:pPr>
    </w:p>
    <w:p w:rsidR="00E1114C" w:rsidRDefault="008A1BBA">
      <w:pPr>
        <w:pStyle w:val="ListParagraph"/>
        <w:numPr>
          <w:ilvl w:val="0"/>
          <w:numId w:val="1"/>
        </w:numPr>
        <w:tabs>
          <w:tab w:val="left" w:pos="583"/>
        </w:tabs>
        <w:rPr>
          <w:sz w:val="20"/>
        </w:rPr>
      </w:pPr>
      <w:r>
        <w:rPr>
          <w:sz w:val="20"/>
        </w:rPr>
        <w:t>The Police must be called especially if it has arrived by mail or</w:t>
      </w:r>
      <w:r>
        <w:rPr>
          <w:spacing w:val="-35"/>
          <w:sz w:val="20"/>
        </w:rPr>
        <w:t xml:space="preserve"> </w:t>
      </w:r>
      <w:r>
        <w:rPr>
          <w:sz w:val="20"/>
        </w:rPr>
        <w:t>package.</w:t>
      </w:r>
    </w:p>
    <w:p w:rsidR="003261F4" w:rsidRPr="003261F4" w:rsidRDefault="003261F4" w:rsidP="003261F4">
      <w:pPr>
        <w:ind w:left="222"/>
        <w:rPr>
          <w:i/>
          <w:sz w:val="20"/>
        </w:rPr>
      </w:pPr>
      <w:r w:rsidRPr="003261F4">
        <w:rPr>
          <w:i/>
          <w:sz w:val="20"/>
        </w:rPr>
        <w:t>Cảnh sát phải đượ</w:t>
      </w:r>
      <w:r>
        <w:rPr>
          <w:i/>
          <w:sz w:val="20"/>
        </w:rPr>
        <w:t>c mời tới nếu nó được gửi tới bằng bưu phẩm qua bưu điện.</w:t>
      </w:r>
    </w:p>
    <w:p w:rsidR="00E1114C" w:rsidRDefault="00E1114C">
      <w:pPr>
        <w:pStyle w:val="BodyText"/>
      </w:pPr>
    </w:p>
    <w:p w:rsidR="00E1114C" w:rsidRDefault="008A1BBA">
      <w:pPr>
        <w:pStyle w:val="ListParagraph"/>
        <w:numPr>
          <w:ilvl w:val="0"/>
          <w:numId w:val="1"/>
        </w:numPr>
        <w:tabs>
          <w:tab w:val="left" w:pos="583"/>
        </w:tabs>
        <w:ind w:right="703"/>
        <w:rPr>
          <w:sz w:val="20"/>
        </w:rPr>
      </w:pPr>
      <w:r>
        <w:rPr>
          <w:sz w:val="20"/>
        </w:rPr>
        <w:t>Once the Police have been contacted the General Manager must be made aware of the situation at hand.</w:t>
      </w:r>
    </w:p>
    <w:p w:rsidR="00961ED5" w:rsidRPr="00961ED5" w:rsidRDefault="00961ED5" w:rsidP="00961ED5">
      <w:pPr>
        <w:ind w:left="222"/>
        <w:rPr>
          <w:i/>
          <w:sz w:val="20"/>
        </w:rPr>
      </w:pPr>
      <w:r w:rsidRPr="00961ED5">
        <w:rPr>
          <w:i/>
          <w:sz w:val="20"/>
        </w:rPr>
        <w:t>Một khi Cảnh sát đã được liên lạ</w:t>
      </w:r>
      <w:r>
        <w:rPr>
          <w:i/>
          <w:sz w:val="20"/>
        </w:rPr>
        <w:t>c thì</w:t>
      </w:r>
      <w:r w:rsidRPr="00961ED5">
        <w:rPr>
          <w:i/>
          <w:sz w:val="20"/>
        </w:rPr>
        <w:t>Tổng Giám đố</w:t>
      </w:r>
      <w:r>
        <w:rPr>
          <w:i/>
          <w:sz w:val="20"/>
        </w:rPr>
        <w:t>c cũng phải nắm được việc này.</w:t>
      </w:r>
    </w:p>
    <w:p w:rsidR="00E1114C" w:rsidRPr="00961ED5" w:rsidRDefault="00E1114C" w:rsidP="00961ED5">
      <w:pPr>
        <w:pStyle w:val="BodyText"/>
        <w:spacing w:before="9"/>
        <w:rPr>
          <w:i/>
          <w:sz w:val="19"/>
        </w:rPr>
      </w:pPr>
    </w:p>
    <w:p w:rsidR="00E1114C" w:rsidRDefault="008A1BBA">
      <w:pPr>
        <w:pStyle w:val="ListParagraph"/>
        <w:numPr>
          <w:ilvl w:val="0"/>
          <w:numId w:val="1"/>
        </w:numPr>
        <w:tabs>
          <w:tab w:val="left" w:pos="583"/>
        </w:tabs>
        <w:rPr>
          <w:sz w:val="20"/>
        </w:rPr>
      </w:pPr>
      <w:r>
        <w:rPr>
          <w:sz w:val="20"/>
        </w:rPr>
        <w:t>The General Manager will decide if the Hotel needs to be</w:t>
      </w:r>
      <w:r>
        <w:rPr>
          <w:spacing w:val="-37"/>
          <w:sz w:val="20"/>
        </w:rPr>
        <w:t xml:space="preserve"> </w:t>
      </w:r>
      <w:r>
        <w:rPr>
          <w:sz w:val="20"/>
        </w:rPr>
        <w:t>evacuated.</w:t>
      </w:r>
    </w:p>
    <w:p w:rsidR="00961ED5" w:rsidRPr="00961ED5" w:rsidRDefault="00961ED5" w:rsidP="00961ED5">
      <w:pPr>
        <w:ind w:left="222"/>
        <w:rPr>
          <w:i/>
          <w:sz w:val="20"/>
        </w:rPr>
      </w:pPr>
      <w:r>
        <w:rPr>
          <w:i/>
          <w:sz w:val="20"/>
        </w:rPr>
        <w:t xml:space="preserve">     </w:t>
      </w:r>
      <w:r w:rsidRPr="00961ED5">
        <w:rPr>
          <w:i/>
          <w:sz w:val="20"/>
        </w:rPr>
        <w:t>Tổng Giám đốc sẽ quyết định xem Khách sạn có cần phải sơ tán không.</w:t>
      </w:r>
    </w:p>
    <w:p w:rsidR="00E1114C" w:rsidRDefault="00E1114C">
      <w:pPr>
        <w:pStyle w:val="BodyText"/>
      </w:pPr>
    </w:p>
    <w:p w:rsidR="00E1114C" w:rsidRDefault="008A1BBA">
      <w:pPr>
        <w:pStyle w:val="ListParagraph"/>
        <w:numPr>
          <w:ilvl w:val="0"/>
          <w:numId w:val="1"/>
        </w:numPr>
        <w:tabs>
          <w:tab w:val="left" w:pos="583"/>
        </w:tabs>
        <w:ind w:right="861"/>
        <w:rPr>
          <w:sz w:val="20"/>
        </w:rPr>
      </w:pPr>
      <w:r>
        <w:rPr>
          <w:sz w:val="20"/>
        </w:rPr>
        <w:t>If</w:t>
      </w:r>
      <w:r>
        <w:rPr>
          <w:spacing w:val="-2"/>
          <w:sz w:val="20"/>
        </w:rPr>
        <w:t xml:space="preserve"> </w:t>
      </w:r>
      <w:r>
        <w:rPr>
          <w:sz w:val="20"/>
        </w:rPr>
        <w:t>the</w:t>
      </w:r>
      <w:r>
        <w:rPr>
          <w:spacing w:val="-4"/>
          <w:sz w:val="20"/>
        </w:rPr>
        <w:t xml:space="preserve"> </w:t>
      </w:r>
      <w:r>
        <w:rPr>
          <w:sz w:val="20"/>
        </w:rPr>
        <w:t>Hotel</w:t>
      </w:r>
      <w:r>
        <w:rPr>
          <w:spacing w:val="-2"/>
          <w:sz w:val="20"/>
        </w:rPr>
        <w:t xml:space="preserve"> </w:t>
      </w:r>
      <w:r>
        <w:rPr>
          <w:sz w:val="20"/>
        </w:rPr>
        <w:t>is</w:t>
      </w:r>
      <w:r>
        <w:rPr>
          <w:spacing w:val="-3"/>
          <w:sz w:val="20"/>
        </w:rPr>
        <w:t xml:space="preserve"> </w:t>
      </w:r>
      <w:r>
        <w:rPr>
          <w:sz w:val="20"/>
        </w:rPr>
        <w:t>to</w:t>
      </w:r>
      <w:r>
        <w:rPr>
          <w:spacing w:val="-2"/>
          <w:sz w:val="20"/>
        </w:rPr>
        <w:t xml:space="preserve"> </w:t>
      </w:r>
      <w:r>
        <w:rPr>
          <w:sz w:val="20"/>
        </w:rPr>
        <w:t>be</w:t>
      </w:r>
      <w:r>
        <w:rPr>
          <w:spacing w:val="-4"/>
          <w:sz w:val="20"/>
        </w:rPr>
        <w:t xml:space="preserve"> </w:t>
      </w:r>
      <w:r>
        <w:rPr>
          <w:sz w:val="20"/>
        </w:rPr>
        <w:t>evacuated</w:t>
      </w:r>
      <w:r>
        <w:rPr>
          <w:spacing w:val="-4"/>
          <w:sz w:val="20"/>
        </w:rPr>
        <w:t xml:space="preserve"> </w:t>
      </w:r>
      <w:r>
        <w:rPr>
          <w:sz w:val="20"/>
        </w:rPr>
        <w:t>the</w:t>
      </w:r>
      <w:r>
        <w:rPr>
          <w:spacing w:val="-4"/>
          <w:sz w:val="20"/>
        </w:rPr>
        <w:t xml:space="preserve"> </w:t>
      </w:r>
      <w:r>
        <w:rPr>
          <w:sz w:val="20"/>
        </w:rPr>
        <w:t>Emergency</w:t>
      </w:r>
      <w:r>
        <w:rPr>
          <w:spacing w:val="-10"/>
          <w:sz w:val="20"/>
        </w:rPr>
        <w:t xml:space="preserve"> </w:t>
      </w:r>
      <w:r>
        <w:rPr>
          <w:sz w:val="20"/>
        </w:rPr>
        <w:t>Warning</w:t>
      </w:r>
      <w:r>
        <w:rPr>
          <w:spacing w:val="-2"/>
          <w:sz w:val="20"/>
        </w:rPr>
        <w:t xml:space="preserve"> </w:t>
      </w:r>
      <w:r>
        <w:rPr>
          <w:sz w:val="20"/>
        </w:rPr>
        <w:t>Intercom System,</w:t>
      </w:r>
      <w:r>
        <w:rPr>
          <w:spacing w:val="-4"/>
          <w:sz w:val="20"/>
        </w:rPr>
        <w:t xml:space="preserve"> </w:t>
      </w:r>
      <w:r>
        <w:rPr>
          <w:sz w:val="20"/>
        </w:rPr>
        <w:t>which</w:t>
      </w:r>
      <w:r>
        <w:rPr>
          <w:spacing w:val="-4"/>
          <w:sz w:val="20"/>
        </w:rPr>
        <w:t xml:space="preserve"> </w:t>
      </w:r>
      <w:r>
        <w:rPr>
          <w:sz w:val="20"/>
        </w:rPr>
        <w:t>is utilised</w:t>
      </w:r>
      <w:r>
        <w:rPr>
          <w:spacing w:val="-2"/>
          <w:sz w:val="20"/>
        </w:rPr>
        <w:t xml:space="preserve"> </w:t>
      </w:r>
      <w:r>
        <w:rPr>
          <w:sz w:val="20"/>
        </w:rPr>
        <w:t>in</w:t>
      </w:r>
      <w:r>
        <w:rPr>
          <w:spacing w:val="-2"/>
          <w:sz w:val="20"/>
        </w:rPr>
        <w:t xml:space="preserve"> </w:t>
      </w:r>
      <w:r>
        <w:rPr>
          <w:sz w:val="20"/>
        </w:rPr>
        <w:t>a</w:t>
      </w:r>
      <w:r>
        <w:rPr>
          <w:spacing w:val="-4"/>
          <w:sz w:val="20"/>
        </w:rPr>
        <w:t xml:space="preserve"> </w:t>
      </w:r>
      <w:r>
        <w:rPr>
          <w:sz w:val="20"/>
        </w:rPr>
        <w:t>fire must be</w:t>
      </w:r>
      <w:r>
        <w:rPr>
          <w:spacing w:val="-10"/>
          <w:sz w:val="20"/>
        </w:rPr>
        <w:t xml:space="preserve"> </w:t>
      </w:r>
      <w:r>
        <w:rPr>
          <w:sz w:val="20"/>
        </w:rPr>
        <w:t>used.</w:t>
      </w:r>
    </w:p>
    <w:p w:rsidR="00961ED5" w:rsidRPr="00961ED5" w:rsidRDefault="00961ED5" w:rsidP="00961ED5">
      <w:pPr>
        <w:ind w:left="222"/>
        <w:rPr>
          <w:i/>
          <w:sz w:val="20"/>
        </w:rPr>
      </w:pPr>
      <w:r w:rsidRPr="00961ED5">
        <w:rPr>
          <w:i/>
          <w:sz w:val="20"/>
        </w:rPr>
        <w:lastRenderedPageBreak/>
        <w:t>Nếu Khách sạn phải sơ tán Hệ thống Cảnh báo Khẩn c</w:t>
      </w:r>
      <w:r>
        <w:rPr>
          <w:i/>
          <w:sz w:val="20"/>
        </w:rPr>
        <w:t xml:space="preserve">ấp dung khi có cháy </w:t>
      </w:r>
      <w:r w:rsidRPr="00961ED5">
        <w:rPr>
          <w:i/>
          <w:sz w:val="20"/>
        </w:rPr>
        <w:t>phải được sử dụng.</w:t>
      </w:r>
    </w:p>
    <w:p w:rsidR="00E1114C" w:rsidRPr="00961ED5" w:rsidRDefault="00E1114C" w:rsidP="00961ED5">
      <w:pPr>
        <w:pStyle w:val="BodyText"/>
        <w:rPr>
          <w:i/>
        </w:rPr>
      </w:pPr>
    </w:p>
    <w:p w:rsidR="00E1114C" w:rsidRDefault="008A1BBA">
      <w:pPr>
        <w:pStyle w:val="ListParagraph"/>
        <w:numPr>
          <w:ilvl w:val="0"/>
          <w:numId w:val="1"/>
        </w:numPr>
        <w:tabs>
          <w:tab w:val="left" w:pos="583"/>
        </w:tabs>
        <w:ind w:right="537"/>
        <w:rPr>
          <w:sz w:val="20"/>
        </w:rPr>
      </w:pPr>
      <w:r>
        <w:rPr>
          <w:sz w:val="20"/>
        </w:rPr>
        <w:t>By pressing the ‘All Evacuate Button’ this will send the message through the Hotel that an evacuation is taking place and their assistance is</w:t>
      </w:r>
      <w:r>
        <w:rPr>
          <w:spacing w:val="-27"/>
          <w:sz w:val="20"/>
        </w:rPr>
        <w:t xml:space="preserve"> </w:t>
      </w:r>
      <w:r>
        <w:rPr>
          <w:sz w:val="20"/>
        </w:rPr>
        <w:t>required.</w:t>
      </w:r>
    </w:p>
    <w:p w:rsidR="002A58B1" w:rsidRPr="002A58B1" w:rsidRDefault="002A58B1" w:rsidP="002A58B1">
      <w:pPr>
        <w:ind w:left="222"/>
        <w:rPr>
          <w:i/>
          <w:sz w:val="20"/>
        </w:rPr>
      </w:pPr>
      <w:r w:rsidRPr="002A58B1">
        <w:rPr>
          <w:i/>
          <w:sz w:val="20"/>
        </w:rPr>
        <w:t>Bằng cách nhấn nút ‘Tất cả sơ tán’, điều này sẽ gửi tin nhắn thông qua Khách sạn rằng việc di tản đang diễn ra và sự hỗ trợ của họ là bắt buộc.</w:t>
      </w:r>
    </w:p>
    <w:p w:rsidR="00E1114C" w:rsidRPr="002A58B1" w:rsidRDefault="00E1114C" w:rsidP="002A58B1">
      <w:pPr>
        <w:pStyle w:val="BodyText"/>
        <w:rPr>
          <w:i/>
        </w:rPr>
      </w:pPr>
    </w:p>
    <w:p w:rsidR="00E1114C" w:rsidRDefault="008A1BBA">
      <w:pPr>
        <w:pStyle w:val="ListParagraph"/>
        <w:numPr>
          <w:ilvl w:val="0"/>
          <w:numId w:val="1"/>
        </w:numPr>
        <w:tabs>
          <w:tab w:val="left" w:pos="583"/>
        </w:tabs>
        <w:ind w:right="992"/>
        <w:rPr>
          <w:sz w:val="20"/>
        </w:rPr>
      </w:pPr>
      <w:r>
        <w:rPr>
          <w:sz w:val="20"/>
        </w:rPr>
        <w:t>No one should be allowed back into the property until the emergency services have given the all clear.</w:t>
      </w:r>
    </w:p>
    <w:p w:rsidR="00CB4D45" w:rsidRDefault="00CB4D45" w:rsidP="002A58B1">
      <w:pPr>
        <w:rPr>
          <w:sz w:val="20"/>
        </w:rPr>
      </w:pPr>
      <w:r w:rsidRPr="00CB4D45">
        <w:rPr>
          <w:sz w:val="20"/>
        </w:rPr>
        <w:t>Không ai được phép trở lại</w:t>
      </w:r>
      <w:r w:rsidR="002A58B1">
        <w:rPr>
          <w:sz w:val="20"/>
        </w:rPr>
        <w:t xml:space="preserve"> lấy</w:t>
      </w:r>
      <w:r w:rsidRPr="00CB4D45">
        <w:rPr>
          <w:sz w:val="20"/>
        </w:rPr>
        <w:t xml:space="preserve"> tài sản cho đế</w:t>
      </w:r>
      <w:r w:rsidR="002A58B1">
        <w:rPr>
          <w:sz w:val="20"/>
        </w:rPr>
        <w:t>n khi</w:t>
      </w:r>
      <w:r w:rsidRPr="00CB4D45">
        <w:rPr>
          <w:sz w:val="20"/>
        </w:rPr>
        <w:t xml:space="preserve"> tất cả mọi việc rõ ràng.</w:t>
      </w:r>
    </w:p>
    <w:p w:rsidR="00CB4D45" w:rsidRDefault="00CB4D45" w:rsidP="00CB4D45">
      <w:pPr>
        <w:rPr>
          <w:sz w:val="20"/>
        </w:rPr>
      </w:pPr>
    </w:p>
    <w:p w:rsidR="00E1114C" w:rsidRDefault="008A1BBA">
      <w:pPr>
        <w:pStyle w:val="Heading1"/>
        <w:ind w:left="211"/>
      </w:pPr>
      <w:r>
        <w:t>REFERENCE DOCUMENTS</w:t>
      </w:r>
    </w:p>
    <w:p w:rsidR="00E1114C" w:rsidRDefault="007F4B4D">
      <w:pPr>
        <w:pStyle w:val="BodyText"/>
        <w:spacing w:before="2"/>
        <w:rPr>
          <w:b/>
          <w:sz w:val="21"/>
        </w:rPr>
      </w:pPr>
      <w:r>
        <w:pict>
          <v:group id="_x0000_s1026" style="position:absolute;margin-left:62.65pt;margin-top:14.15pt;width:495.75pt;height:99.75pt;z-index:251657728;mso-wrap-distance-left:0;mso-wrap-distance-right:0;mso-position-horizontal-relative:page" coordorigin="1253,283" coordsize="9915,1995">
            <v:rect id="_x0000_s1032" style="position:absolute;left:1260;top:290;width:9900;height:447" fillcolor="black" stroked="f"/>
            <v:rect id="_x0000_s1031" style="position:absolute;left:1260;top:290;width:9900;height:528" filled="f"/>
            <v:rect id="_x0000_s1030" style="position:absolute;left:1260;top:737;width:9900;height:1534" stroked="f"/>
            <v:rect id="_x0000_s1029" style="position:absolute;left:1260;top:737;width:9900;height:1534" filled="f"/>
            <v:shape id="_x0000_s1028" type="#_x0000_t202" style="position:absolute;left:1413;top:376;width:2565;height:223" filled="f" stroked="f">
              <v:textbox inset="0,0,0,0">
                <w:txbxContent>
                  <w:p w:rsidR="00E1114C" w:rsidRDefault="008A1BBA">
                    <w:pPr>
                      <w:spacing w:line="223" w:lineRule="exact"/>
                      <w:rPr>
                        <w:sz w:val="20"/>
                      </w:rPr>
                    </w:pPr>
                    <w:r>
                      <w:rPr>
                        <w:color w:val="FFFFFF"/>
                        <w:sz w:val="20"/>
                      </w:rPr>
                      <w:t>POLICY AND PROCEDURE</w:t>
                    </w:r>
                  </w:p>
                </w:txbxContent>
              </v:textbox>
            </v:shape>
            <v:shape id="_x0000_s1027" type="#_x0000_t202" style="position:absolute;left:5733;top:376;width:2332;height:223" filled="f" stroked="f">
              <v:textbox inset="0,0,0,0">
                <w:txbxContent>
                  <w:p w:rsidR="00E1114C" w:rsidRDefault="008A1BBA">
                    <w:pPr>
                      <w:spacing w:line="223" w:lineRule="exact"/>
                      <w:rPr>
                        <w:sz w:val="20"/>
                      </w:rPr>
                    </w:pPr>
                    <w:r>
                      <w:rPr>
                        <w:color w:val="FFFFFF"/>
                        <w:sz w:val="20"/>
                      </w:rPr>
                      <w:t>SUPPORT DOCUMENTS</w:t>
                    </w:r>
                  </w:p>
                </w:txbxContent>
              </v:textbox>
            </v:shape>
            <w10:wrap type="topAndBottom" anchorx="page"/>
          </v:group>
        </w:pict>
      </w:r>
    </w:p>
    <w:sectPr w:rsidR="00E1114C">
      <w:headerReference w:type="default" r:id="rId7"/>
      <w:footerReference w:type="default" r:id="rId8"/>
      <w:pgSz w:w="12240" w:h="15840"/>
      <w:pgMar w:top="1380" w:right="960" w:bottom="1220" w:left="1140" w:header="718" w:footer="10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DE2" w:rsidRDefault="00162DE2">
      <w:r>
        <w:separator/>
      </w:r>
    </w:p>
  </w:endnote>
  <w:endnote w:type="continuationSeparator" w:id="0">
    <w:p w:rsidR="00162DE2" w:rsidRDefault="0016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14C" w:rsidRDefault="007F4B4D">
    <w:pPr>
      <w:pStyle w:val="BodyText"/>
      <w:spacing w:line="14" w:lineRule="auto"/>
    </w:pPr>
    <w:r>
      <w:pict>
        <v:shapetype id="_x0000_t202" coordsize="21600,21600" o:spt="202" path="m,l,21600r21600,l21600,xe">
          <v:stroke joinstyle="miter"/>
          <v:path gradientshapeok="t" o:connecttype="rect"/>
        </v:shapetype>
        <v:shape id="_x0000_s2049" type="#_x0000_t202" style="position:absolute;margin-left:488pt;margin-top:729.9pt;width:53.15pt;height:13.15pt;z-index:-251657728;mso-position-horizontal-relative:page;mso-position-vertical-relative:page" filled="f" stroked="f">
          <v:textbox style="mso-next-textbox:#_x0000_s2049" inset="0,0,0,0">
            <w:txbxContent>
              <w:p w:rsidR="00E1114C" w:rsidRDefault="008A1BBA">
                <w:pPr>
                  <w:spacing w:before="12"/>
                  <w:ind w:left="20"/>
                  <w:rPr>
                    <w:b/>
                    <w:sz w:val="20"/>
                  </w:rPr>
                </w:pPr>
                <w:r>
                  <w:rPr>
                    <w:sz w:val="20"/>
                  </w:rPr>
                  <w:t xml:space="preserve">Page </w:t>
                </w:r>
                <w:r>
                  <w:fldChar w:fldCharType="begin"/>
                </w:r>
                <w:r>
                  <w:rPr>
                    <w:b/>
                    <w:sz w:val="20"/>
                  </w:rPr>
                  <w:instrText xml:space="preserve"> PAGE </w:instrText>
                </w:r>
                <w:r>
                  <w:fldChar w:fldCharType="separate"/>
                </w:r>
                <w:r w:rsidR="007F4B4D">
                  <w:rPr>
                    <w:b/>
                    <w:noProof/>
                    <w:sz w:val="20"/>
                  </w:rPr>
                  <w:t>1</w:t>
                </w:r>
                <w:r>
                  <w:fldChar w:fldCharType="end"/>
                </w:r>
                <w:r>
                  <w:rPr>
                    <w:b/>
                    <w:sz w:val="20"/>
                  </w:rPr>
                  <w:t xml:space="preserve"> </w:t>
                </w:r>
                <w:r>
                  <w:rPr>
                    <w:sz w:val="20"/>
                  </w:rPr>
                  <w:t xml:space="preserve">of </w:t>
                </w:r>
                <w:r>
                  <w:rPr>
                    <w:b/>
                    <w:sz w:val="20"/>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DE2" w:rsidRDefault="00162DE2">
      <w:r>
        <w:separator/>
      </w:r>
    </w:p>
  </w:footnote>
  <w:footnote w:type="continuationSeparator" w:id="0">
    <w:p w:rsidR="00162DE2" w:rsidRDefault="00162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14C" w:rsidRPr="00173AB2" w:rsidRDefault="00E1114C" w:rsidP="00173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86667B"/>
    <w:multiLevelType w:val="hybridMultilevel"/>
    <w:tmpl w:val="8CD8B9B0"/>
    <w:lvl w:ilvl="0" w:tplc="2AB48DEC">
      <w:start w:val="1"/>
      <w:numFmt w:val="decimal"/>
      <w:lvlText w:val="%1."/>
      <w:lvlJc w:val="left"/>
      <w:pPr>
        <w:ind w:left="582" w:hanging="360"/>
        <w:jc w:val="left"/>
      </w:pPr>
      <w:rPr>
        <w:rFonts w:ascii="Arial" w:eastAsia="Arial" w:hAnsi="Arial" w:cs="Arial" w:hint="default"/>
        <w:spacing w:val="-1"/>
        <w:w w:val="99"/>
        <w:sz w:val="20"/>
        <w:szCs w:val="20"/>
      </w:rPr>
    </w:lvl>
    <w:lvl w:ilvl="1" w:tplc="2F76314C">
      <w:numFmt w:val="bullet"/>
      <w:lvlText w:val="•"/>
      <w:lvlJc w:val="left"/>
      <w:pPr>
        <w:ind w:left="1528" w:hanging="360"/>
      </w:pPr>
      <w:rPr>
        <w:rFonts w:hint="default"/>
      </w:rPr>
    </w:lvl>
    <w:lvl w:ilvl="2" w:tplc="789C707C">
      <w:numFmt w:val="bullet"/>
      <w:lvlText w:val="•"/>
      <w:lvlJc w:val="left"/>
      <w:pPr>
        <w:ind w:left="2476" w:hanging="360"/>
      </w:pPr>
      <w:rPr>
        <w:rFonts w:hint="default"/>
      </w:rPr>
    </w:lvl>
    <w:lvl w:ilvl="3" w:tplc="A1D61CC0">
      <w:numFmt w:val="bullet"/>
      <w:lvlText w:val="•"/>
      <w:lvlJc w:val="left"/>
      <w:pPr>
        <w:ind w:left="3424" w:hanging="360"/>
      </w:pPr>
      <w:rPr>
        <w:rFonts w:hint="default"/>
      </w:rPr>
    </w:lvl>
    <w:lvl w:ilvl="4" w:tplc="6B7A9286">
      <w:numFmt w:val="bullet"/>
      <w:lvlText w:val="•"/>
      <w:lvlJc w:val="left"/>
      <w:pPr>
        <w:ind w:left="4372" w:hanging="360"/>
      </w:pPr>
      <w:rPr>
        <w:rFonts w:hint="default"/>
      </w:rPr>
    </w:lvl>
    <w:lvl w:ilvl="5" w:tplc="BAA4A6F4">
      <w:numFmt w:val="bullet"/>
      <w:lvlText w:val="•"/>
      <w:lvlJc w:val="left"/>
      <w:pPr>
        <w:ind w:left="5320" w:hanging="360"/>
      </w:pPr>
      <w:rPr>
        <w:rFonts w:hint="default"/>
      </w:rPr>
    </w:lvl>
    <w:lvl w:ilvl="6" w:tplc="75FA9DF8">
      <w:numFmt w:val="bullet"/>
      <w:lvlText w:val="•"/>
      <w:lvlJc w:val="left"/>
      <w:pPr>
        <w:ind w:left="6268" w:hanging="360"/>
      </w:pPr>
      <w:rPr>
        <w:rFonts w:hint="default"/>
      </w:rPr>
    </w:lvl>
    <w:lvl w:ilvl="7" w:tplc="B456EC64">
      <w:numFmt w:val="bullet"/>
      <w:lvlText w:val="•"/>
      <w:lvlJc w:val="left"/>
      <w:pPr>
        <w:ind w:left="7216" w:hanging="360"/>
      </w:pPr>
      <w:rPr>
        <w:rFonts w:hint="default"/>
      </w:rPr>
    </w:lvl>
    <w:lvl w:ilvl="8" w:tplc="7DA4603C">
      <w:numFmt w:val="bullet"/>
      <w:lvlText w:val="•"/>
      <w:lvlJc w:val="left"/>
      <w:pPr>
        <w:ind w:left="8164"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E1114C"/>
    <w:rsid w:val="00162DE2"/>
    <w:rsid w:val="00173AB2"/>
    <w:rsid w:val="002A58B1"/>
    <w:rsid w:val="003261F4"/>
    <w:rsid w:val="007F4B4D"/>
    <w:rsid w:val="008A1BBA"/>
    <w:rsid w:val="00961ED5"/>
    <w:rsid w:val="00CB4D45"/>
    <w:rsid w:val="00D500F4"/>
    <w:rsid w:val="00E1114C"/>
    <w:rsid w:val="00FF1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E07803D-DE10-4504-8E02-FD954D04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93"/>
      <w:ind w:left="22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58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73AB2"/>
    <w:pPr>
      <w:tabs>
        <w:tab w:val="center" w:pos="4680"/>
        <w:tab w:val="right" w:pos="9360"/>
      </w:tabs>
    </w:pPr>
  </w:style>
  <w:style w:type="character" w:customStyle="1" w:styleId="HeaderChar">
    <w:name w:val="Header Char"/>
    <w:basedOn w:val="DefaultParagraphFont"/>
    <w:link w:val="Header"/>
    <w:uiPriority w:val="99"/>
    <w:rsid w:val="00173AB2"/>
    <w:rPr>
      <w:rFonts w:ascii="Arial" w:eastAsia="Arial" w:hAnsi="Arial" w:cs="Arial"/>
    </w:rPr>
  </w:style>
  <w:style w:type="paragraph" w:styleId="Footer">
    <w:name w:val="footer"/>
    <w:basedOn w:val="Normal"/>
    <w:link w:val="FooterChar"/>
    <w:uiPriority w:val="99"/>
    <w:unhideWhenUsed/>
    <w:rsid w:val="00173AB2"/>
    <w:pPr>
      <w:tabs>
        <w:tab w:val="center" w:pos="4680"/>
        <w:tab w:val="right" w:pos="9360"/>
      </w:tabs>
    </w:pPr>
  </w:style>
  <w:style w:type="character" w:customStyle="1" w:styleId="FooterChar">
    <w:name w:val="Footer Char"/>
    <w:basedOn w:val="DefaultParagraphFont"/>
    <w:link w:val="Footer"/>
    <w:uiPriority w:val="99"/>
    <w:rsid w:val="00173AB2"/>
    <w:rPr>
      <w:rFonts w:ascii="Arial" w:eastAsia="Arial" w:hAnsi="Arial" w:cs="Arial"/>
    </w:rPr>
  </w:style>
  <w:style w:type="paragraph" w:styleId="BalloonText">
    <w:name w:val="Balloon Text"/>
    <w:basedOn w:val="Normal"/>
    <w:link w:val="BalloonTextChar"/>
    <w:uiPriority w:val="99"/>
    <w:semiHidden/>
    <w:unhideWhenUsed/>
    <w:rsid w:val="007F4B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B4D"/>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SSC027 - Appropriate Action in Dealing with Unidentified Hazardous Chemicals</dc:title>
  <dc:creator>Mboon</dc:creator>
  <cp:keywords>()</cp:keywords>
  <cp:lastModifiedBy>DOVIET Ngoc</cp:lastModifiedBy>
  <cp:revision>13</cp:revision>
  <cp:lastPrinted>2024-11-15T08:38:00Z</cp:lastPrinted>
  <dcterms:created xsi:type="dcterms:W3CDTF">2018-03-05T14:41:00Z</dcterms:created>
  <dcterms:modified xsi:type="dcterms:W3CDTF">2024-11-15T08:38:00Z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